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3A759D" w14:textId="32743AE0" w:rsidR="00CB234F" w:rsidRPr="00CB234F" w:rsidRDefault="00CB234F" w:rsidP="00335B88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CB23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IV ENCONTRO COM MINISTROS DO </w:t>
      </w:r>
      <w:proofErr w:type="gramStart"/>
      <w:r w:rsidRPr="00CB23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STJ </w:t>
      </w:r>
      <w:r w:rsidRPr="00CB234F">
        <w:rPr>
          <w:rFonts w:ascii="Times New Roman" w:eastAsia="Arial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Arial" w:hAnsi="Times New Roman" w:cs="Times New Roman"/>
          <w:b/>
          <w:sz w:val="24"/>
          <w:szCs w:val="24"/>
        </w:rPr>
        <w:t>-</w:t>
      </w:r>
      <w:proofErr w:type="gramEnd"/>
      <w:r>
        <w:rPr>
          <w:rFonts w:ascii="Times New Roman" w:eastAsia="Arial" w:hAnsi="Times New Roman" w:cs="Times New Roman"/>
          <w:b/>
          <w:sz w:val="24"/>
          <w:szCs w:val="24"/>
        </w:rPr>
        <w:t xml:space="preserve"> </w:t>
      </w:r>
      <w:r w:rsidRPr="00CB234F">
        <w:rPr>
          <w:rFonts w:ascii="Times New Roman" w:eastAsia="Arial" w:hAnsi="Times New Roman" w:cs="Times New Roman"/>
          <w:b/>
          <w:sz w:val="24"/>
          <w:szCs w:val="24"/>
        </w:rPr>
        <w:t xml:space="preserve">UNISA </w:t>
      </w:r>
    </w:p>
    <w:p w14:paraId="1C15D943" w14:textId="6464B9AB" w:rsidR="00820703" w:rsidRDefault="00983557" w:rsidP="00CB234F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CE0BF6">
        <w:rPr>
          <w:rFonts w:ascii="Times New Roman" w:eastAsia="Arial" w:hAnsi="Times New Roman" w:cs="Times New Roman"/>
          <w:b/>
          <w:sz w:val="24"/>
          <w:szCs w:val="24"/>
        </w:rPr>
        <w:t>18/11/2021</w:t>
      </w:r>
      <w:r w:rsidR="00820703" w:rsidRPr="00CE0BF6">
        <w:rPr>
          <w:rFonts w:ascii="Times New Roman" w:eastAsia="Arial" w:hAnsi="Times New Roman" w:cs="Times New Roman"/>
          <w:b/>
          <w:sz w:val="24"/>
          <w:szCs w:val="24"/>
        </w:rPr>
        <w:t xml:space="preserve"> </w:t>
      </w:r>
      <w:r w:rsidR="00CB234F">
        <w:rPr>
          <w:rFonts w:ascii="Times New Roman" w:eastAsia="Arial" w:hAnsi="Times New Roman" w:cs="Times New Roman"/>
          <w:b/>
          <w:sz w:val="24"/>
          <w:szCs w:val="24"/>
        </w:rPr>
        <w:t xml:space="preserve">21 </w:t>
      </w:r>
    </w:p>
    <w:p w14:paraId="0733D09B" w14:textId="77777777" w:rsidR="00CB234F" w:rsidRPr="00CE0BF6" w:rsidRDefault="00CB234F" w:rsidP="00CB234F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5DF0231E" w14:textId="2FD6AA12" w:rsidR="00820703" w:rsidRPr="00EA3810" w:rsidRDefault="00820703" w:rsidP="00335B88">
      <w:pPr>
        <w:spacing w:after="0" w:line="360" w:lineRule="auto"/>
        <w:ind w:left="4253"/>
        <w:rPr>
          <w:rFonts w:ascii="Times New Roman" w:eastAsia="Arial" w:hAnsi="Times New Roman" w:cs="Times New Roman"/>
          <w:i/>
          <w:sz w:val="24"/>
          <w:szCs w:val="24"/>
        </w:rPr>
      </w:pPr>
      <w:r w:rsidRPr="00EA3810">
        <w:rPr>
          <w:rFonts w:ascii="Times New Roman" w:hAnsi="Times New Roman" w:cs="Times New Roman"/>
          <w:i/>
          <w:sz w:val="24"/>
          <w:szCs w:val="24"/>
        </w:rPr>
        <w:t>Muitos são os planos no coração do homem, mas o que prevalece é o propósito do Senhor. (Provérbios 19:21)</w:t>
      </w:r>
    </w:p>
    <w:p w14:paraId="00000002" w14:textId="77777777" w:rsidR="00006A26" w:rsidRPr="00CE0BF6" w:rsidRDefault="00006A26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00000003" w14:textId="77777777" w:rsidR="00006A26" w:rsidRPr="00983557" w:rsidRDefault="00983557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É uma alegria muito grande estar novamente aqui na UNISA ao lado dos meus colegas Ministros do Superior Tribunal de Justiça.</w:t>
      </w:r>
    </w:p>
    <w:p w14:paraId="00000004" w14:textId="75DAC34E" w:rsidR="00006A26" w:rsidRPr="00983557" w:rsidRDefault="00983557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Inicialmente, cumpriment</w:t>
      </w:r>
      <w:r w:rsidR="00EA3810">
        <w:rPr>
          <w:rFonts w:ascii="Times New Roman" w:eastAsia="Arial" w:hAnsi="Times New Roman" w:cs="Times New Roman"/>
          <w:sz w:val="26"/>
          <w:szCs w:val="26"/>
        </w:rPr>
        <w:t xml:space="preserve">o </w:t>
      </w:r>
      <w:r w:rsidRPr="00983557">
        <w:rPr>
          <w:rFonts w:ascii="Times New Roman" w:eastAsia="Arial" w:hAnsi="Times New Roman" w:cs="Times New Roman"/>
          <w:sz w:val="26"/>
          <w:szCs w:val="26"/>
        </w:rPr>
        <w:t>o Ministro Paulo Dias de Moura Ribeiro, professor da UNISA e coordenador científico desse grande evento</w:t>
      </w:r>
      <w:r w:rsidR="00EA3810">
        <w:rPr>
          <w:rFonts w:ascii="Times New Roman" w:eastAsia="Arial" w:hAnsi="Times New Roman" w:cs="Times New Roman"/>
          <w:sz w:val="26"/>
          <w:szCs w:val="26"/>
        </w:rPr>
        <w:t xml:space="preserve">, na pessoa de quem </w:t>
      </w:r>
      <w:r w:rsidRPr="00983557">
        <w:rPr>
          <w:rFonts w:ascii="Times New Roman" w:eastAsia="Arial" w:hAnsi="Times New Roman" w:cs="Times New Roman"/>
          <w:sz w:val="26"/>
          <w:szCs w:val="26"/>
        </w:rPr>
        <w:t>estend</w:t>
      </w:r>
      <w:r w:rsidR="00EA3810">
        <w:rPr>
          <w:rFonts w:ascii="Times New Roman" w:eastAsia="Arial" w:hAnsi="Times New Roman" w:cs="Times New Roman"/>
          <w:sz w:val="26"/>
          <w:szCs w:val="26"/>
        </w:rPr>
        <w:t xml:space="preserve">o </w:t>
      </w:r>
      <w:r w:rsidRPr="00983557">
        <w:rPr>
          <w:rFonts w:ascii="Times New Roman" w:eastAsia="Arial" w:hAnsi="Times New Roman" w:cs="Times New Roman"/>
          <w:sz w:val="26"/>
          <w:szCs w:val="26"/>
        </w:rPr>
        <w:t>os meus efusivos cumprimentos a todos os demais Ministros do STJ que participaram dessa atividade de debate de Acórdãos.</w:t>
      </w:r>
    </w:p>
    <w:p w14:paraId="00000005" w14:textId="1C272064" w:rsidR="00006A26" w:rsidRPr="00983557" w:rsidRDefault="00983557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 xml:space="preserve">Essa atividade acadêmica promovida e realizada pela UNISA é de grande relevância para a formação dos profissionais do </w:t>
      </w:r>
      <w:r w:rsidR="00EA3810">
        <w:rPr>
          <w:rFonts w:ascii="Times New Roman" w:eastAsia="Arial" w:hAnsi="Times New Roman" w:cs="Times New Roman"/>
          <w:sz w:val="26"/>
          <w:szCs w:val="26"/>
        </w:rPr>
        <w:t>D</w:t>
      </w:r>
      <w:r w:rsidRPr="00983557">
        <w:rPr>
          <w:rFonts w:ascii="Times New Roman" w:eastAsia="Arial" w:hAnsi="Times New Roman" w:cs="Times New Roman"/>
          <w:sz w:val="26"/>
          <w:szCs w:val="26"/>
        </w:rPr>
        <w:t>ireito</w:t>
      </w:r>
      <w:r w:rsidR="00EA3810">
        <w:rPr>
          <w:rFonts w:ascii="Times New Roman" w:eastAsia="Arial" w:hAnsi="Times New Roman" w:cs="Times New Roman"/>
          <w:sz w:val="26"/>
          <w:szCs w:val="26"/>
        </w:rPr>
        <w:t xml:space="preserve">,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porque, através da discussão de Acórdãos pelos próprios Ministros do Superior Tribunal de Justiça, </w:t>
      </w:r>
      <w:r w:rsidR="00CE4C1D">
        <w:rPr>
          <w:rFonts w:ascii="Times New Roman" w:eastAsia="Arial" w:hAnsi="Times New Roman" w:cs="Times New Roman"/>
          <w:sz w:val="26"/>
          <w:szCs w:val="26"/>
        </w:rPr>
        <w:t xml:space="preserve">são </w:t>
      </w:r>
      <w:r w:rsidR="00EA3810" w:rsidRPr="00983557">
        <w:rPr>
          <w:rFonts w:ascii="Times New Roman" w:eastAsia="Arial" w:hAnsi="Times New Roman" w:cs="Times New Roman"/>
          <w:sz w:val="26"/>
          <w:szCs w:val="26"/>
        </w:rPr>
        <w:t>demonstra</w:t>
      </w:r>
      <w:r w:rsidR="00CE4C1D">
        <w:rPr>
          <w:rFonts w:ascii="Times New Roman" w:eastAsia="Arial" w:hAnsi="Times New Roman" w:cs="Times New Roman"/>
          <w:sz w:val="26"/>
          <w:szCs w:val="26"/>
        </w:rPr>
        <w:t xml:space="preserve">dos </w:t>
      </w:r>
      <w:r w:rsidR="00EA3810" w:rsidRPr="00983557">
        <w:rPr>
          <w:rFonts w:ascii="Times New Roman" w:eastAsia="Arial" w:hAnsi="Times New Roman" w:cs="Times New Roman"/>
          <w:sz w:val="26"/>
          <w:szCs w:val="26"/>
        </w:rPr>
        <w:t xml:space="preserve">aos alunos </w:t>
      </w:r>
      <w:r w:rsidRPr="00983557">
        <w:rPr>
          <w:rFonts w:ascii="Times New Roman" w:eastAsia="Arial" w:hAnsi="Times New Roman" w:cs="Times New Roman"/>
          <w:sz w:val="26"/>
          <w:szCs w:val="26"/>
        </w:rPr>
        <w:t>aspectos essenciais para a compreensão das competências e do funcionamento do Tribunal da Cidadania.</w:t>
      </w:r>
    </w:p>
    <w:p w14:paraId="00000006" w14:textId="77777777" w:rsidR="00006A26" w:rsidRPr="00983557" w:rsidRDefault="00983557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O STJ foi criado pela Constituição Federal de 1988 e instalado no ano seguinte, com a missão de julgar em última instância as questões de direito federal, uniformizando a interpretação e a aplicação do direito federal em todo o Brasil.</w:t>
      </w:r>
    </w:p>
    <w:p w14:paraId="00000007" w14:textId="77777777" w:rsidR="00006A26" w:rsidRPr="00983557" w:rsidRDefault="00983557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 xml:space="preserve">Tendo em vista que as decisões do STJ influenciam todos os aspectos da vida cotidiana das pessoas, essa Corte ficou conhecida como o </w:t>
      </w:r>
      <w:r w:rsidRPr="00983557">
        <w:rPr>
          <w:rFonts w:ascii="Times New Roman" w:eastAsia="Arial" w:hAnsi="Times New Roman" w:cs="Times New Roman"/>
          <w:b/>
          <w:sz w:val="26"/>
          <w:szCs w:val="26"/>
        </w:rPr>
        <w:t>Tribunal da Cidadania</w:t>
      </w:r>
      <w:r w:rsidRPr="00983557">
        <w:rPr>
          <w:rFonts w:ascii="Times New Roman" w:eastAsia="Arial" w:hAnsi="Times New Roman" w:cs="Times New Roman"/>
          <w:sz w:val="26"/>
          <w:szCs w:val="26"/>
        </w:rPr>
        <w:t>.</w:t>
      </w:r>
    </w:p>
    <w:p w14:paraId="00000008" w14:textId="1BBF2E8D" w:rsidR="00006A26" w:rsidRPr="00983557" w:rsidRDefault="00983557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A composição e as competências do Superior Tribunal de Justiça estão definidas nos artigos 104 e 105 da Constituição Federal</w:t>
      </w:r>
      <w:r w:rsidR="002C572C">
        <w:rPr>
          <w:rFonts w:ascii="Times New Roman" w:eastAsia="Arial" w:hAnsi="Times New Roman" w:cs="Times New Roman"/>
          <w:sz w:val="26"/>
          <w:szCs w:val="26"/>
        </w:rPr>
        <w:t>.</w:t>
      </w:r>
    </w:p>
    <w:p w14:paraId="00000009" w14:textId="4C4CCF81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Com a criação do STJ, o Supremo Tribunal Federal assumi</w:t>
      </w:r>
      <w:r w:rsidR="00F61345">
        <w:rPr>
          <w:rFonts w:ascii="Times New Roman" w:eastAsia="Arial" w:hAnsi="Times New Roman" w:cs="Times New Roman"/>
          <w:sz w:val="26"/>
          <w:szCs w:val="26"/>
        </w:rPr>
        <w:t xml:space="preserve">u </w:t>
      </w:r>
      <w:r w:rsidR="002C572C">
        <w:rPr>
          <w:rFonts w:ascii="Times New Roman" w:eastAsia="Arial" w:hAnsi="Times New Roman" w:cs="Times New Roman"/>
          <w:sz w:val="26"/>
          <w:szCs w:val="26"/>
        </w:rPr>
        <w:t xml:space="preserve">a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função predominantemente de guardião da Constituição Federal, </w:t>
      </w:r>
      <w:r w:rsidR="00D14B97">
        <w:rPr>
          <w:rFonts w:ascii="Times New Roman" w:eastAsia="Arial" w:hAnsi="Times New Roman" w:cs="Times New Roman"/>
          <w:sz w:val="26"/>
          <w:szCs w:val="26"/>
        </w:rPr>
        <w:t xml:space="preserve">enquanto o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STJ </w:t>
      </w:r>
      <w:r w:rsidR="00D14B97">
        <w:rPr>
          <w:rFonts w:ascii="Times New Roman" w:eastAsia="Arial" w:hAnsi="Times New Roman" w:cs="Times New Roman"/>
          <w:sz w:val="26"/>
          <w:szCs w:val="26"/>
        </w:rPr>
        <w:t xml:space="preserve">assumiu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a competência para julgamento das causas de natureza infraconstitucional. </w:t>
      </w:r>
    </w:p>
    <w:p w14:paraId="0000000A" w14:textId="6059E79C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Dentre as competências do STJ, previstas no art</w:t>
      </w:r>
      <w:r w:rsidR="00D51ACF">
        <w:rPr>
          <w:rFonts w:ascii="Times New Roman" w:eastAsia="Arial" w:hAnsi="Times New Roman" w:cs="Times New Roman"/>
          <w:sz w:val="26"/>
          <w:szCs w:val="26"/>
        </w:rPr>
        <w:t>igo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 105 da C</w:t>
      </w:r>
      <w:r w:rsidR="00D51ACF">
        <w:rPr>
          <w:rFonts w:ascii="Times New Roman" w:eastAsia="Arial" w:hAnsi="Times New Roman" w:cs="Times New Roman"/>
          <w:sz w:val="26"/>
          <w:szCs w:val="26"/>
        </w:rPr>
        <w:t>onstituição Federal</w:t>
      </w:r>
      <w:r w:rsidRPr="00983557">
        <w:rPr>
          <w:rFonts w:ascii="Times New Roman" w:eastAsia="Arial" w:hAnsi="Times New Roman" w:cs="Times New Roman"/>
          <w:sz w:val="26"/>
          <w:szCs w:val="26"/>
        </w:rPr>
        <w:t>, destacarei a competência para processamento e julgamento do RECURSO ESPECIAL.</w:t>
      </w:r>
    </w:p>
    <w:p w14:paraId="0000000B" w14:textId="7386A565" w:rsidR="00006A26" w:rsidRPr="00983557" w:rsidRDefault="00983557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lastRenderedPageBreak/>
        <w:t>Conforme dispõe o art</w:t>
      </w:r>
      <w:r w:rsidR="00D51ACF">
        <w:rPr>
          <w:rFonts w:ascii="Times New Roman" w:eastAsia="Arial" w:hAnsi="Times New Roman" w:cs="Times New Roman"/>
          <w:sz w:val="26"/>
          <w:szCs w:val="26"/>
        </w:rPr>
        <w:t xml:space="preserve">igo </w:t>
      </w:r>
      <w:r w:rsidRPr="00983557">
        <w:rPr>
          <w:rFonts w:ascii="Times New Roman" w:eastAsia="Arial" w:hAnsi="Times New Roman" w:cs="Times New Roman"/>
          <w:sz w:val="26"/>
          <w:szCs w:val="26"/>
        </w:rPr>
        <w:t>105, III, da CF, compete ao STJ julgar recurso especial nas causas decididas, em única ou última instância, pelos Tribunais Regionais Federais ou pelos tribunais dos Estados, do Distrito Federal e Territórios, quando a decisão recorrida:</w:t>
      </w:r>
    </w:p>
    <w:p w14:paraId="0000000C" w14:textId="77777777" w:rsidR="00006A26" w:rsidRPr="00983557" w:rsidRDefault="00983557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a) contrariar tratado ou lei federal, ou negar-lhes vigência;</w:t>
      </w:r>
    </w:p>
    <w:p w14:paraId="0000000D" w14:textId="77777777" w:rsidR="00006A26" w:rsidRPr="00983557" w:rsidRDefault="00983557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b) julgar válido ato de governo local contestado em face de lei federal; </w:t>
      </w:r>
    </w:p>
    <w:p w14:paraId="0000000E" w14:textId="77777777" w:rsidR="00006A26" w:rsidRPr="00983557" w:rsidRDefault="00983557" w:rsidP="0077052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c) der a lei federal interpretação divergente da que lhe haja atribuído outro tribunal.</w:t>
      </w:r>
    </w:p>
    <w:p w14:paraId="0000000F" w14:textId="29561300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O RE</w:t>
      </w:r>
      <w:r w:rsidR="00D51ACF">
        <w:rPr>
          <w:rFonts w:ascii="Times New Roman" w:eastAsia="Arial" w:hAnsi="Times New Roman" w:cs="Times New Roman"/>
          <w:sz w:val="26"/>
          <w:szCs w:val="26"/>
        </w:rPr>
        <w:t xml:space="preserve">SP, </w:t>
      </w:r>
      <w:r w:rsidRPr="00983557">
        <w:rPr>
          <w:rFonts w:ascii="Times New Roman" w:eastAsia="Arial" w:hAnsi="Times New Roman" w:cs="Times New Roman"/>
          <w:sz w:val="26"/>
          <w:szCs w:val="26"/>
        </w:rPr>
        <w:t>com</w:t>
      </w:r>
      <w:r w:rsidR="00D51ACF">
        <w:rPr>
          <w:rFonts w:ascii="Times New Roman" w:eastAsia="Arial" w:hAnsi="Times New Roman" w:cs="Times New Roman"/>
          <w:sz w:val="26"/>
          <w:szCs w:val="26"/>
        </w:rPr>
        <w:t>o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 é conhecido o Recurso Especial, tem a função principal de levar ao STJ uma questão de direito federal para que lhe seja dada a última palavra.</w:t>
      </w:r>
    </w:p>
    <w:p w14:paraId="00000010" w14:textId="77777777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 xml:space="preserve">É importante destacar que não se admite a reanálise de provas em sede de Recurso Especial. </w:t>
      </w:r>
    </w:p>
    <w:p w14:paraId="00000011" w14:textId="73396F0E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Examina-se o direito das partes, a fim de tutelar a autoridade e unidade da lei federal e</w:t>
      </w:r>
      <w:r w:rsidR="00F61345">
        <w:rPr>
          <w:rFonts w:ascii="Times New Roman" w:eastAsia="Arial" w:hAnsi="Times New Roman" w:cs="Times New Roman"/>
          <w:sz w:val="26"/>
          <w:szCs w:val="26"/>
        </w:rPr>
        <w:t xml:space="preserve"> </w:t>
      </w:r>
      <w:r w:rsidRPr="00983557">
        <w:rPr>
          <w:rFonts w:ascii="Times New Roman" w:eastAsia="Arial" w:hAnsi="Times New Roman" w:cs="Times New Roman"/>
          <w:b/>
          <w:sz w:val="26"/>
          <w:szCs w:val="26"/>
        </w:rPr>
        <w:t>controlar a legalidade</w:t>
      </w:r>
      <w:r w:rsidR="00F61345">
        <w:rPr>
          <w:rFonts w:ascii="Times New Roman" w:eastAsia="Arial" w:hAnsi="Times New Roman" w:cs="Times New Roman"/>
          <w:sz w:val="26"/>
          <w:szCs w:val="26"/>
        </w:rPr>
        <w:t xml:space="preserve"> </w:t>
      </w:r>
      <w:r w:rsidRPr="00983557">
        <w:rPr>
          <w:rFonts w:ascii="Times New Roman" w:eastAsia="Arial" w:hAnsi="Times New Roman" w:cs="Times New Roman"/>
          <w:sz w:val="26"/>
          <w:szCs w:val="26"/>
        </w:rPr>
        <w:t>do julgado proferido pelas instâncias inferiores.</w:t>
      </w:r>
    </w:p>
    <w:p w14:paraId="00000012" w14:textId="3C8E3C4A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 xml:space="preserve">São inúmeras as teses jurídicas relacionadas ao direito federal que chegam </w:t>
      </w:r>
      <w:r w:rsidR="00F61345">
        <w:rPr>
          <w:rFonts w:ascii="Times New Roman" w:eastAsia="Arial" w:hAnsi="Times New Roman" w:cs="Times New Roman"/>
          <w:sz w:val="26"/>
          <w:szCs w:val="26"/>
        </w:rPr>
        <w:t xml:space="preserve">ao </w:t>
      </w:r>
      <w:r w:rsidRPr="00983557">
        <w:rPr>
          <w:rFonts w:ascii="Times New Roman" w:eastAsia="Arial" w:hAnsi="Times New Roman" w:cs="Times New Roman"/>
          <w:sz w:val="26"/>
          <w:szCs w:val="26"/>
        </w:rPr>
        <w:t>STJ para julgamento. Muitas teses, entretanto, acabam sendo analisadas de forma reiterada em diversos recursos especiais.</w:t>
      </w:r>
    </w:p>
    <w:p w14:paraId="00000013" w14:textId="37ABB1DC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Diante dessa constatação e com o objetivo de racionalizar o trabalho da Justiça e do próprio STJ, o legislador processual criou o sistema dos recursos especiais repetitivos</w:t>
      </w:r>
    </w:p>
    <w:p w14:paraId="00000014" w14:textId="77777777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 xml:space="preserve">De acordo com o sistema dos julgamentos repetitivos, processos que se baseiem em uma mesma tese podem ter o trâmite suspenso até que o STJ delibere sobre a matéria, resolvendo em um único julgamento inúmeras causas de idêntico direito. </w:t>
      </w:r>
    </w:p>
    <w:p w14:paraId="00000015" w14:textId="4B2554FB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Desse modo, o STJ racionaliza o seu trabalho ao julgar dois ou mais recursos representat</w:t>
      </w:r>
      <w:r w:rsidR="00F61345">
        <w:rPr>
          <w:rFonts w:ascii="Times New Roman" w:eastAsia="Arial" w:hAnsi="Times New Roman" w:cs="Times New Roman"/>
          <w:sz w:val="26"/>
          <w:szCs w:val="26"/>
        </w:rPr>
        <w:t>ivos de controvérsia repetitiva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 ao invés de julgar milhares de recursos com mesmo tema jurídico.</w:t>
      </w:r>
    </w:p>
    <w:p w14:paraId="00000016" w14:textId="0C4EECFF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Conforme dispõe o art</w:t>
      </w:r>
      <w:r w:rsidR="00897BCB">
        <w:rPr>
          <w:rFonts w:ascii="Times New Roman" w:eastAsia="Arial" w:hAnsi="Times New Roman" w:cs="Times New Roman"/>
          <w:sz w:val="26"/>
          <w:szCs w:val="26"/>
        </w:rPr>
        <w:t>igo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 1</w:t>
      </w:r>
      <w:r w:rsidR="00820703" w:rsidRPr="00983557">
        <w:rPr>
          <w:rFonts w:ascii="Times New Roman" w:eastAsia="Arial" w:hAnsi="Times New Roman" w:cs="Times New Roman"/>
          <w:sz w:val="26"/>
          <w:szCs w:val="26"/>
        </w:rPr>
        <w:t>.</w:t>
      </w:r>
      <w:r w:rsidRPr="00983557">
        <w:rPr>
          <w:rFonts w:ascii="Times New Roman" w:eastAsia="Arial" w:hAnsi="Times New Roman" w:cs="Times New Roman"/>
          <w:sz w:val="26"/>
          <w:szCs w:val="26"/>
        </w:rPr>
        <w:t>039 do CPC, decididos os recursos afetados como representativos da controvérsia repetitiva, os órgãos colegiados declararão prejudicados os demais recursos versando sobre idêntica controvérsia ou os decidirão aplicando a tese firmada.</w:t>
      </w:r>
    </w:p>
    <w:p w14:paraId="00000017" w14:textId="671367B8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lastRenderedPageBreak/>
        <w:t xml:space="preserve">No exercício de suas competências originárias e recursais, o Superior Tribunal de Justiça recebe e julga anualmente </w:t>
      </w:r>
      <w:r w:rsidR="00820703" w:rsidRPr="00983557">
        <w:rPr>
          <w:rFonts w:ascii="Times New Roman" w:eastAsia="Arial" w:hAnsi="Times New Roman" w:cs="Times New Roman"/>
          <w:sz w:val="26"/>
          <w:szCs w:val="26"/>
        </w:rPr>
        <w:t>milhares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 de processos.</w:t>
      </w:r>
    </w:p>
    <w:p w14:paraId="00000018" w14:textId="723A05CF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Em razão desse enorme volume de recursos especiais e agravos decorrentes d</w:t>
      </w:r>
      <w:r w:rsidR="00820703" w:rsidRPr="00983557">
        <w:rPr>
          <w:rFonts w:ascii="Times New Roman" w:eastAsia="Arial" w:hAnsi="Times New Roman" w:cs="Times New Roman"/>
          <w:sz w:val="26"/>
          <w:szCs w:val="26"/>
        </w:rPr>
        <w:t>a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 não </w:t>
      </w:r>
      <w:r w:rsidR="00820703" w:rsidRPr="00983557">
        <w:rPr>
          <w:rFonts w:ascii="Times New Roman" w:eastAsia="Arial" w:hAnsi="Times New Roman" w:cs="Times New Roman"/>
          <w:sz w:val="26"/>
          <w:szCs w:val="26"/>
        </w:rPr>
        <w:t xml:space="preserve">admissão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do Recurso Especial no Tribunal de origem, o STJ defende uma nova medida de racionalização do sistema recursal. </w:t>
      </w:r>
    </w:p>
    <w:p w14:paraId="00000019" w14:textId="1EA6586E" w:rsidR="00006A26" w:rsidRPr="00983557" w:rsidRDefault="00983557" w:rsidP="00770523">
      <w:pP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A PEC da Relevância, como ficou conhecida a proposta, foi aprovada na Câmara dos Deputados</w:t>
      </w:r>
      <w:r w:rsidR="00F61345">
        <w:rPr>
          <w:rFonts w:ascii="Times New Roman" w:eastAsia="Arial" w:hAnsi="Times New Roman" w:cs="Times New Roman"/>
          <w:sz w:val="26"/>
          <w:szCs w:val="26"/>
        </w:rPr>
        <w:t>,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 depois de debates com participação dos Ministros </w:t>
      </w:r>
      <w:proofErr w:type="spellStart"/>
      <w:r w:rsidRPr="00983557">
        <w:rPr>
          <w:rFonts w:ascii="Times New Roman" w:eastAsia="Arial" w:hAnsi="Times New Roman" w:cs="Times New Roman"/>
          <w:sz w:val="26"/>
          <w:szCs w:val="26"/>
        </w:rPr>
        <w:t>Luis</w:t>
      </w:r>
      <w:proofErr w:type="spellEnd"/>
      <w:r w:rsidRPr="00983557">
        <w:rPr>
          <w:rFonts w:ascii="Times New Roman" w:eastAsia="Arial" w:hAnsi="Times New Roman" w:cs="Times New Roman"/>
          <w:sz w:val="26"/>
          <w:szCs w:val="26"/>
        </w:rPr>
        <w:t xml:space="preserve"> Felipe Salomão e Marco Aurélio </w:t>
      </w:r>
      <w:proofErr w:type="spellStart"/>
      <w:r w:rsidRPr="00983557">
        <w:rPr>
          <w:rFonts w:ascii="Times New Roman" w:eastAsia="Arial" w:hAnsi="Times New Roman" w:cs="Times New Roman"/>
          <w:sz w:val="26"/>
          <w:szCs w:val="26"/>
        </w:rPr>
        <w:t>Belizze</w:t>
      </w:r>
      <w:proofErr w:type="spellEnd"/>
      <w:r w:rsidRPr="00983557">
        <w:rPr>
          <w:rFonts w:ascii="Times New Roman" w:eastAsia="Arial" w:hAnsi="Times New Roman" w:cs="Times New Roman"/>
          <w:sz w:val="26"/>
          <w:szCs w:val="26"/>
        </w:rPr>
        <w:t xml:space="preserve"> Oliveira, e estabelece a alteração do art</w:t>
      </w:r>
      <w:r w:rsidR="00B926AD">
        <w:rPr>
          <w:rFonts w:ascii="Times New Roman" w:eastAsia="Arial" w:hAnsi="Times New Roman" w:cs="Times New Roman"/>
          <w:sz w:val="26"/>
          <w:szCs w:val="26"/>
        </w:rPr>
        <w:t xml:space="preserve">igo </w:t>
      </w:r>
      <w:r w:rsidRPr="00983557">
        <w:rPr>
          <w:rFonts w:ascii="Times New Roman" w:eastAsia="Arial" w:hAnsi="Times New Roman" w:cs="Times New Roman"/>
          <w:sz w:val="26"/>
          <w:szCs w:val="26"/>
        </w:rPr>
        <w:t>105 da Constituição Federal de 1988 para criação de mais um requisito de admissibilidade do Recurso Especial: a necessidade de</w:t>
      </w:r>
      <w:r w:rsidR="00F61345">
        <w:rPr>
          <w:rFonts w:ascii="Times New Roman" w:eastAsia="Arial" w:hAnsi="Times New Roman" w:cs="Times New Roman"/>
          <w:sz w:val="26"/>
          <w:szCs w:val="26"/>
        </w:rPr>
        <w:t xml:space="preserve"> </w:t>
      </w:r>
      <w:r w:rsidRPr="00983557">
        <w:rPr>
          <w:rFonts w:ascii="Times New Roman" w:eastAsia="Arial" w:hAnsi="Times New Roman" w:cs="Times New Roman"/>
          <w:b/>
          <w:sz w:val="26"/>
          <w:szCs w:val="26"/>
        </w:rPr>
        <w:t>relevância da questão federal</w:t>
      </w:r>
      <w:r w:rsidR="00F61345">
        <w:rPr>
          <w:rFonts w:ascii="Times New Roman" w:eastAsia="Arial" w:hAnsi="Times New Roman" w:cs="Times New Roman"/>
          <w:sz w:val="26"/>
          <w:szCs w:val="26"/>
        </w:rPr>
        <w:t xml:space="preserve">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discutida para que o recurso chegue ao </w:t>
      </w:r>
      <w:proofErr w:type="gramStart"/>
      <w:r w:rsidRPr="00983557">
        <w:rPr>
          <w:rFonts w:ascii="Times New Roman" w:eastAsia="Arial" w:hAnsi="Times New Roman" w:cs="Times New Roman"/>
          <w:sz w:val="26"/>
          <w:szCs w:val="26"/>
        </w:rPr>
        <w:t>STJ.​</w:t>
      </w:r>
      <w:proofErr w:type="gramEnd"/>
    </w:p>
    <w:p w14:paraId="0000001A" w14:textId="409B7ACD" w:rsidR="00006A26" w:rsidRPr="00983557" w:rsidRDefault="00983557" w:rsidP="00770523">
      <w:pP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Recentemente, em 3 de novembro de 2021, o texto da PEC da Relevância foi aprovado pelo Senado</w:t>
      </w:r>
      <w:r w:rsidR="00CE0BF6" w:rsidRPr="00983557">
        <w:rPr>
          <w:rFonts w:ascii="Times New Roman" w:eastAsia="Arial" w:hAnsi="Times New Roman" w:cs="Times New Roman"/>
          <w:sz w:val="26"/>
          <w:szCs w:val="26"/>
        </w:rPr>
        <w:t>, mas</w:t>
      </w:r>
      <w:r w:rsidR="00FD52DD">
        <w:rPr>
          <w:rFonts w:ascii="Times New Roman" w:eastAsia="Arial" w:hAnsi="Times New Roman" w:cs="Times New Roman"/>
          <w:sz w:val="26"/>
          <w:szCs w:val="26"/>
        </w:rPr>
        <w:t xml:space="preserve">, </w:t>
      </w:r>
      <w:r w:rsidR="00CE0BF6" w:rsidRPr="00983557">
        <w:rPr>
          <w:rFonts w:ascii="Times New Roman" w:eastAsia="Arial" w:hAnsi="Times New Roman" w:cs="Times New Roman"/>
          <w:sz w:val="26"/>
          <w:szCs w:val="26"/>
        </w:rPr>
        <w:t xml:space="preserve">como </w:t>
      </w:r>
      <w:r w:rsidR="00FD52DD">
        <w:rPr>
          <w:rFonts w:ascii="Times New Roman" w:eastAsia="Arial" w:hAnsi="Times New Roman" w:cs="Times New Roman"/>
          <w:sz w:val="26"/>
          <w:szCs w:val="26"/>
        </w:rPr>
        <w:t xml:space="preserve">houve </w:t>
      </w:r>
      <w:r w:rsidR="00CE0BF6" w:rsidRPr="00983557">
        <w:rPr>
          <w:rFonts w:ascii="Times New Roman" w:eastAsia="Times New Roman" w:hAnsi="Times New Roman" w:cs="Times New Roman"/>
          <w:sz w:val="26"/>
          <w:szCs w:val="26"/>
        </w:rPr>
        <w:t>modifica</w:t>
      </w:r>
      <w:r w:rsidR="00FD52DD">
        <w:rPr>
          <w:rFonts w:ascii="Times New Roman" w:eastAsia="Times New Roman" w:hAnsi="Times New Roman" w:cs="Times New Roman"/>
          <w:sz w:val="26"/>
          <w:szCs w:val="26"/>
        </w:rPr>
        <w:t>ção</w:t>
      </w:r>
      <w:r w:rsidR="00CE0BF6" w:rsidRPr="00983557">
        <w:rPr>
          <w:rFonts w:ascii="Times New Roman" w:eastAsia="Times New Roman" w:hAnsi="Times New Roman" w:cs="Times New Roman"/>
          <w:sz w:val="26"/>
          <w:szCs w:val="26"/>
        </w:rPr>
        <w:t xml:space="preserve">, a proposta retornou para nova análise na Câmara dos Deputados. </w:t>
      </w:r>
      <w:r w:rsidRPr="00983557">
        <w:rPr>
          <w:rFonts w:ascii="Times New Roman" w:eastAsia="Arial" w:hAnsi="Times New Roman" w:cs="Times New Roman"/>
          <w:sz w:val="26"/>
          <w:szCs w:val="26"/>
        </w:rPr>
        <w:t>Nesse sentido, o art</w:t>
      </w:r>
      <w:r w:rsidR="00F37837">
        <w:rPr>
          <w:rFonts w:ascii="Times New Roman" w:eastAsia="Arial" w:hAnsi="Times New Roman" w:cs="Times New Roman"/>
          <w:sz w:val="26"/>
          <w:szCs w:val="26"/>
        </w:rPr>
        <w:t xml:space="preserve">igo </w:t>
      </w:r>
      <w:r w:rsidRPr="00983557">
        <w:rPr>
          <w:rFonts w:ascii="Times New Roman" w:eastAsia="Arial" w:hAnsi="Times New Roman" w:cs="Times New Roman"/>
          <w:sz w:val="26"/>
          <w:szCs w:val="26"/>
        </w:rPr>
        <w:t>105 da Constituição passa a contar com mais dois parágrafos, de modo que, no recurso especial, a parte "</w:t>
      </w:r>
      <w:r w:rsidRPr="00983557">
        <w:rPr>
          <w:rFonts w:ascii="Times New Roman" w:eastAsia="Arial" w:hAnsi="Times New Roman" w:cs="Times New Roman"/>
          <w:b/>
          <w:sz w:val="26"/>
          <w:szCs w:val="26"/>
        </w:rPr>
        <w:t>deve demonstrar a relevância das questões de direito federal infraconstitucional discutidas no caso</w:t>
      </w:r>
      <w:r w:rsidRPr="00983557">
        <w:rPr>
          <w:rFonts w:ascii="Times New Roman" w:eastAsia="Arial" w:hAnsi="Times New Roman" w:cs="Times New Roman"/>
          <w:sz w:val="26"/>
          <w:szCs w:val="26"/>
        </w:rPr>
        <w:t>, nos termos da lei, a fim de que o Tribunal examine a admissão do recurso, somente podendo não o conhecer por esse motivo pela manifestação de dois terços dos membros do órgão competente para o julgamento". Na sequência, a nova redação do art</w:t>
      </w:r>
      <w:r w:rsidR="00F37837">
        <w:rPr>
          <w:rFonts w:ascii="Times New Roman" w:eastAsia="Arial" w:hAnsi="Times New Roman" w:cs="Times New Roman"/>
          <w:sz w:val="26"/>
          <w:szCs w:val="26"/>
        </w:rPr>
        <w:t xml:space="preserve">igo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105 estabelece que a </w:t>
      </w:r>
      <w:r w:rsidRPr="00983557">
        <w:rPr>
          <w:rFonts w:ascii="Times New Roman" w:eastAsia="Arial" w:hAnsi="Times New Roman" w:cs="Times New Roman"/>
          <w:b/>
          <w:sz w:val="26"/>
          <w:szCs w:val="26"/>
        </w:rPr>
        <w:t>relevância é reconhecida por força de lei em seis situações</w:t>
      </w:r>
      <w:r w:rsidR="00F37837">
        <w:rPr>
          <w:rFonts w:ascii="Times New Roman" w:eastAsia="Arial" w:hAnsi="Times New Roman" w:cs="Times New Roman"/>
          <w:sz w:val="26"/>
          <w:szCs w:val="26"/>
        </w:rPr>
        <w:t xml:space="preserve">: </w:t>
      </w:r>
      <w:r w:rsidR="00F37837" w:rsidRPr="00F37837">
        <w:rPr>
          <w:rFonts w:ascii="Times New Roman" w:eastAsia="Arial" w:hAnsi="Times New Roman" w:cs="Times New Roman"/>
          <w:sz w:val="26"/>
          <w:szCs w:val="26"/>
        </w:rPr>
        <w:t>I)</w:t>
      </w:r>
      <w:r w:rsidR="00F37837">
        <w:rPr>
          <w:rFonts w:ascii="Times New Roman" w:eastAsia="Arial" w:hAnsi="Times New Roman" w:cs="Times New Roman"/>
          <w:sz w:val="26"/>
          <w:szCs w:val="26"/>
        </w:rPr>
        <w:t xml:space="preserve">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ações penais; </w:t>
      </w:r>
      <w:r w:rsidR="00F37837">
        <w:rPr>
          <w:rFonts w:ascii="Times New Roman" w:eastAsia="Arial" w:hAnsi="Times New Roman" w:cs="Times New Roman"/>
          <w:sz w:val="26"/>
          <w:szCs w:val="26"/>
        </w:rPr>
        <w:t>II</w:t>
      </w:r>
      <w:r w:rsidRPr="00983557">
        <w:rPr>
          <w:rFonts w:ascii="Times New Roman" w:eastAsia="Arial" w:hAnsi="Times New Roman" w:cs="Times New Roman"/>
          <w:sz w:val="26"/>
          <w:szCs w:val="26"/>
        </w:rPr>
        <w:t>)</w:t>
      </w:r>
      <w:r w:rsidR="00F37837">
        <w:rPr>
          <w:rFonts w:ascii="Times New Roman" w:eastAsia="Arial" w:hAnsi="Times New Roman" w:cs="Times New Roman"/>
          <w:sz w:val="26"/>
          <w:szCs w:val="26"/>
        </w:rPr>
        <w:t xml:space="preserve">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ações de improbidade administrativa; </w:t>
      </w:r>
      <w:r w:rsidR="00F37837">
        <w:rPr>
          <w:rFonts w:ascii="Times New Roman" w:eastAsia="Arial" w:hAnsi="Times New Roman" w:cs="Times New Roman"/>
          <w:sz w:val="26"/>
          <w:szCs w:val="26"/>
        </w:rPr>
        <w:t>III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) ações cujo valor de causa </w:t>
      </w:r>
      <w:r w:rsidRPr="00983557">
        <w:rPr>
          <w:rFonts w:ascii="Times New Roman" w:eastAsia="Arial" w:hAnsi="Times New Roman" w:cs="Times New Roman"/>
          <w:b/>
          <w:sz w:val="26"/>
          <w:szCs w:val="26"/>
        </w:rPr>
        <w:t>ultrapasse quinhentos salários mínimos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; </w:t>
      </w:r>
      <w:r w:rsidR="00F37837">
        <w:rPr>
          <w:rFonts w:ascii="Times New Roman" w:eastAsia="Arial" w:hAnsi="Times New Roman" w:cs="Times New Roman"/>
          <w:sz w:val="26"/>
          <w:szCs w:val="26"/>
        </w:rPr>
        <w:t>IV</w:t>
      </w:r>
      <w:r w:rsidRPr="00983557">
        <w:rPr>
          <w:rFonts w:ascii="Times New Roman" w:eastAsia="Arial" w:hAnsi="Times New Roman" w:cs="Times New Roman"/>
          <w:sz w:val="26"/>
          <w:szCs w:val="26"/>
        </w:rPr>
        <w:t>)</w:t>
      </w:r>
      <w:r w:rsidR="00F37837">
        <w:rPr>
          <w:rFonts w:ascii="Times New Roman" w:eastAsia="Arial" w:hAnsi="Times New Roman" w:cs="Times New Roman"/>
          <w:sz w:val="26"/>
          <w:szCs w:val="26"/>
        </w:rPr>
        <w:t xml:space="preserve">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ações que possam gerar inelegibilidade; </w:t>
      </w:r>
      <w:r w:rsidR="00F37837">
        <w:rPr>
          <w:rFonts w:ascii="Times New Roman" w:eastAsia="Arial" w:hAnsi="Times New Roman" w:cs="Times New Roman"/>
          <w:sz w:val="26"/>
          <w:szCs w:val="26"/>
        </w:rPr>
        <w:t>V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) hipóteses em que o acórdão recorrido contrariar jurisprudência dominante do Superior Tribunal de Justiça; </w:t>
      </w:r>
      <w:r w:rsidR="00F37837">
        <w:rPr>
          <w:rFonts w:ascii="Times New Roman" w:eastAsia="Arial" w:hAnsi="Times New Roman" w:cs="Times New Roman"/>
          <w:sz w:val="26"/>
          <w:szCs w:val="26"/>
        </w:rPr>
        <w:t>e VI</w:t>
      </w:r>
      <w:r w:rsidRPr="00983557">
        <w:rPr>
          <w:rFonts w:ascii="Times New Roman" w:eastAsia="Arial" w:hAnsi="Times New Roman" w:cs="Times New Roman"/>
          <w:sz w:val="26"/>
          <w:szCs w:val="26"/>
        </w:rPr>
        <w:t>)</w:t>
      </w:r>
      <w:r w:rsidR="00F37837">
        <w:rPr>
          <w:rFonts w:ascii="Times New Roman" w:eastAsia="Arial" w:hAnsi="Times New Roman" w:cs="Times New Roman"/>
          <w:sz w:val="26"/>
          <w:szCs w:val="26"/>
        </w:rPr>
        <w:t xml:space="preserve"> </w:t>
      </w:r>
      <w:r w:rsidRPr="00983557">
        <w:rPr>
          <w:rFonts w:ascii="Times New Roman" w:eastAsia="Arial" w:hAnsi="Times New Roman" w:cs="Times New Roman"/>
          <w:sz w:val="26"/>
          <w:szCs w:val="26"/>
        </w:rPr>
        <w:t>outras hipóteses previstas em lei.</w:t>
      </w:r>
    </w:p>
    <w:p w14:paraId="5DE605B8" w14:textId="77777777" w:rsidR="00CE0BF6" w:rsidRPr="00983557" w:rsidRDefault="00983557" w:rsidP="00770523">
      <w:pP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Nesse sentido, a tendência é que o STJ passe a julgar os recursos cujo tema tenha relevância jurídica capaz de justificar o pronunciamento da instância superior, evitando-se o julgamento de questões que afetam apenas o interesse das partes, sem maiores implicações na interpretação do direito federal.</w:t>
      </w:r>
      <w:r w:rsidR="00CE0BF6" w:rsidRPr="00983557">
        <w:rPr>
          <w:rFonts w:ascii="Times New Roman" w:eastAsia="Arial" w:hAnsi="Times New Roman" w:cs="Times New Roman"/>
          <w:sz w:val="26"/>
          <w:szCs w:val="26"/>
        </w:rPr>
        <w:t xml:space="preserve"> </w:t>
      </w:r>
    </w:p>
    <w:p w14:paraId="0000001C" w14:textId="78875C35" w:rsidR="00006A26" w:rsidRPr="00983557" w:rsidRDefault="00983557" w:rsidP="00770523">
      <w:pPr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O objetivo central dessa novidade constitucional é fazer com que o STJ deixe de atuar como</w:t>
      </w:r>
      <w:r w:rsidR="00F37837">
        <w:rPr>
          <w:rFonts w:ascii="Times New Roman" w:eastAsia="Arial" w:hAnsi="Times New Roman" w:cs="Times New Roman"/>
          <w:sz w:val="26"/>
          <w:szCs w:val="26"/>
        </w:rPr>
        <w:t xml:space="preserve"> </w:t>
      </w:r>
      <w:r w:rsidRPr="00983557">
        <w:rPr>
          <w:rFonts w:ascii="Times New Roman" w:eastAsia="Arial" w:hAnsi="Times New Roman" w:cs="Times New Roman"/>
          <w:b/>
          <w:sz w:val="26"/>
          <w:szCs w:val="26"/>
        </w:rPr>
        <w:t>terceira instância</w:t>
      </w:r>
      <w:r w:rsidRPr="00983557">
        <w:rPr>
          <w:rFonts w:ascii="Times New Roman" w:eastAsia="Arial" w:hAnsi="Times New Roman" w:cs="Times New Roman"/>
          <w:sz w:val="26"/>
          <w:szCs w:val="26"/>
        </w:rPr>
        <w:t>, revisora de processos cujo interesse muitas vezes está restrito às partes, e exerça de forma mais efetiva o seu papel constitucional.</w:t>
      </w:r>
    </w:p>
    <w:p w14:paraId="0000001D" w14:textId="546F60E3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lastRenderedPageBreak/>
        <w:t>A aprovação da PEC da Relevância foi muito importante para que o Superior Tribunal de Justiça possa cumprir sua missão institucional de uniformizar a interpretação da lei federal, privilegiando o julgamento de teses, bem como para que possa exercer o papel de Corte da Cidadania, julgando casos que transcendem os interesses das partes envolvidas no processo e que digam respeito ao interesse de todos os cidadãos brasileiros diante da sua relevância jurídica, econômica, social e política.</w:t>
      </w:r>
    </w:p>
    <w:p w14:paraId="0000001F" w14:textId="77777777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Finalizo minhas palavras de hoje destacando que o Superior Tribunal de Justiça exerce função central na distribuição de Justiça no Brasil.</w:t>
      </w:r>
    </w:p>
    <w:p w14:paraId="00000020" w14:textId="77777777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Tenho muito orgulho de atuar como Ministro do Superior Tribunal de Justiça e de, atualmente, ser o Presidente dessa Corte de Cidadania.</w:t>
      </w:r>
    </w:p>
    <w:p w14:paraId="00000021" w14:textId="43907938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 xml:space="preserve">Acredito nas </w:t>
      </w:r>
      <w:r w:rsidR="00F37837">
        <w:rPr>
          <w:rFonts w:ascii="Times New Roman" w:eastAsia="Arial" w:hAnsi="Times New Roman" w:cs="Times New Roman"/>
          <w:sz w:val="26"/>
          <w:szCs w:val="26"/>
        </w:rPr>
        <w:t>i</w:t>
      </w:r>
      <w:r w:rsidRPr="00983557">
        <w:rPr>
          <w:rFonts w:ascii="Times New Roman" w:eastAsia="Arial" w:hAnsi="Times New Roman" w:cs="Times New Roman"/>
          <w:sz w:val="26"/>
          <w:szCs w:val="26"/>
        </w:rPr>
        <w:t>nstituições. Tenho fé nas pessoas!</w:t>
      </w:r>
    </w:p>
    <w:p w14:paraId="41373C94" w14:textId="77777777" w:rsidR="00CE0BF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O STJ cumpre sua missão de proteger a cidadania brasileira.</w:t>
      </w:r>
    </w:p>
    <w:p w14:paraId="00000022" w14:textId="5A662FF4" w:rsidR="00006A26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Magistratura</w:t>
      </w:r>
      <w:r w:rsidR="00CE0BF6" w:rsidRPr="00983557">
        <w:rPr>
          <w:rFonts w:ascii="Times New Roman" w:eastAsia="Arial" w:hAnsi="Times New Roman" w:cs="Times New Roman"/>
          <w:sz w:val="26"/>
          <w:szCs w:val="26"/>
        </w:rPr>
        <w:t xml:space="preserve">, </w:t>
      </w:r>
      <w:r w:rsidR="00F37837">
        <w:rPr>
          <w:rFonts w:ascii="Times New Roman" w:eastAsia="Arial" w:hAnsi="Times New Roman" w:cs="Times New Roman"/>
          <w:sz w:val="26"/>
          <w:szCs w:val="26"/>
        </w:rPr>
        <w:t>i</w:t>
      </w:r>
      <w:r w:rsidR="00CE0BF6" w:rsidRPr="00983557">
        <w:rPr>
          <w:rFonts w:ascii="Times New Roman" w:eastAsia="Arial" w:hAnsi="Times New Roman" w:cs="Times New Roman"/>
          <w:sz w:val="26"/>
          <w:szCs w:val="26"/>
        </w:rPr>
        <w:t xml:space="preserve">nstituições democráticas </w:t>
      </w:r>
      <w:r w:rsidRPr="00983557">
        <w:rPr>
          <w:rFonts w:ascii="Times New Roman" w:eastAsia="Arial" w:hAnsi="Times New Roman" w:cs="Times New Roman"/>
          <w:sz w:val="26"/>
          <w:szCs w:val="26"/>
        </w:rPr>
        <w:t xml:space="preserve">e cidadania </w:t>
      </w:r>
      <w:r w:rsidR="00CE0BF6" w:rsidRPr="00983557">
        <w:rPr>
          <w:rFonts w:ascii="Times New Roman" w:eastAsia="Arial" w:hAnsi="Times New Roman" w:cs="Times New Roman"/>
          <w:sz w:val="26"/>
          <w:szCs w:val="26"/>
        </w:rPr>
        <w:t xml:space="preserve">sempre </w:t>
      </w:r>
      <w:r w:rsidRPr="00983557">
        <w:rPr>
          <w:rFonts w:ascii="Times New Roman" w:eastAsia="Arial" w:hAnsi="Times New Roman" w:cs="Times New Roman"/>
          <w:sz w:val="26"/>
          <w:szCs w:val="26"/>
        </w:rPr>
        <w:t>de mãos dadas.</w:t>
      </w:r>
    </w:p>
    <w:p w14:paraId="1D4A84C0" w14:textId="026FD004" w:rsidR="00332213" w:rsidRDefault="00332213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>
        <w:rPr>
          <w:rFonts w:ascii="Times New Roman" w:eastAsia="Arial" w:hAnsi="Times New Roman" w:cs="Times New Roman"/>
          <w:sz w:val="26"/>
          <w:szCs w:val="26"/>
        </w:rPr>
        <w:t>Estamos vencendo a Pandemia e com retorno as nossas atividades presenciais. Tudo passa, só não passa a misericórdia de Deus!</w:t>
      </w:r>
    </w:p>
    <w:p w14:paraId="168BD4C4" w14:textId="0B4533B4" w:rsidR="00332213" w:rsidRDefault="00332213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>
        <w:rPr>
          <w:rFonts w:ascii="Times New Roman" w:eastAsia="Arial" w:hAnsi="Times New Roman" w:cs="Times New Roman"/>
          <w:sz w:val="26"/>
          <w:szCs w:val="26"/>
        </w:rPr>
        <w:t>Encerro as minhas palavras, trazendo a colação os ensinamentos do livro da sabedoria:</w:t>
      </w:r>
    </w:p>
    <w:p w14:paraId="78DD367C" w14:textId="64B60ED3" w:rsidR="00332213" w:rsidRDefault="00332213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>
        <w:rPr>
          <w:rFonts w:ascii="Times New Roman" w:eastAsia="Arial" w:hAnsi="Times New Roman" w:cs="Times New Roman"/>
          <w:sz w:val="26"/>
          <w:szCs w:val="26"/>
        </w:rPr>
        <w:t>Combati o bom combate, encerrei a carreira, guardei a fé!</w:t>
      </w:r>
    </w:p>
    <w:p w14:paraId="3763A80B" w14:textId="0F681BF3" w:rsidR="00332213" w:rsidRPr="00983557" w:rsidRDefault="00332213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>
        <w:rPr>
          <w:rFonts w:ascii="Times New Roman" w:eastAsia="Arial" w:hAnsi="Times New Roman" w:cs="Times New Roman"/>
          <w:sz w:val="26"/>
          <w:szCs w:val="26"/>
        </w:rPr>
        <w:t>Deus ilumine a todos nós!</w:t>
      </w:r>
      <w:bookmarkStart w:id="0" w:name="_GoBack"/>
      <w:bookmarkEnd w:id="0"/>
    </w:p>
    <w:p w14:paraId="00000025" w14:textId="77777777" w:rsidR="00006A26" w:rsidRPr="00983557" w:rsidRDefault="00983557" w:rsidP="00770523">
      <w:pPr>
        <w:shd w:val="clear" w:color="auto" w:fill="FFFFFF"/>
        <w:spacing w:after="0" w:line="360" w:lineRule="auto"/>
        <w:ind w:firstLine="1418"/>
        <w:jc w:val="both"/>
        <w:rPr>
          <w:rFonts w:ascii="Times New Roman" w:eastAsia="Arial" w:hAnsi="Times New Roman" w:cs="Times New Roman"/>
          <w:sz w:val="26"/>
          <w:szCs w:val="26"/>
        </w:rPr>
      </w:pPr>
      <w:r w:rsidRPr="00983557">
        <w:rPr>
          <w:rFonts w:ascii="Times New Roman" w:eastAsia="Arial" w:hAnsi="Times New Roman" w:cs="Times New Roman"/>
          <w:sz w:val="26"/>
          <w:szCs w:val="26"/>
        </w:rPr>
        <w:t>Muito obrigado.</w:t>
      </w:r>
    </w:p>
    <w:sectPr w:rsidR="00006A26" w:rsidRPr="00983557" w:rsidSect="00770523">
      <w:pgSz w:w="11906" w:h="16838"/>
      <w:pgMar w:top="1417" w:right="1274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A26"/>
    <w:rsid w:val="00006A26"/>
    <w:rsid w:val="002C572C"/>
    <w:rsid w:val="00332213"/>
    <w:rsid w:val="00335B88"/>
    <w:rsid w:val="00770523"/>
    <w:rsid w:val="00820703"/>
    <w:rsid w:val="00897BCB"/>
    <w:rsid w:val="00983557"/>
    <w:rsid w:val="00B926AD"/>
    <w:rsid w:val="00BC4CDC"/>
    <w:rsid w:val="00CB234F"/>
    <w:rsid w:val="00CE0BF6"/>
    <w:rsid w:val="00CE4C1D"/>
    <w:rsid w:val="00D14B97"/>
    <w:rsid w:val="00D51ACF"/>
    <w:rsid w:val="00EA3810"/>
    <w:rsid w:val="00F37837"/>
    <w:rsid w:val="00F61345"/>
    <w:rsid w:val="00FD5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9398B"/>
  <w15:docId w15:val="{91A6A8BE-EE34-4A3D-B4E4-BD94E4BC8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spacing w:line="240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CE0B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5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4</Pages>
  <Words>1159</Words>
  <Characters>6262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Superior Tribunal de Justiça</Company>
  <LinksUpToDate>false</LinksUpToDate>
  <CharactersWithSpaces>7407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Jadson Santana de Sousa</dc:creator>
  <cp:lastModifiedBy>Josefa Tereza Roque de Araújo</cp:lastModifiedBy>
  <cp:revision>16</cp:revision>
  <dcterms:created xsi:type="dcterms:W3CDTF">2021-11-16T17:58:00Z</dcterms:created>
  <dcterms:modified xsi:type="dcterms:W3CDTF">2021-11-19T11:42:00Z</dcterms:modified>
</cp:coreProperties>
</file>